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8071E" w:rsidP="00F8071E" w14:paraId="0BFA9D7C" w14:textId="54141D80">
      <w:pPr>
        <w:spacing w:after="0" w:line="480" w:lineRule="auto"/>
        <w:jc w:val="center"/>
        <w:rPr>
          <w:rFonts w:ascii="Times New Roman" w:hAnsi="Times New Roman" w:cs="Times New Roman"/>
          <w:sz w:val="24"/>
          <w:szCs w:val="24"/>
        </w:rPr>
      </w:pPr>
    </w:p>
    <w:p w:rsidR="006B64BC" w:rsidP="00F8071E" w14:paraId="22BCAC9D" w14:textId="3B36D934">
      <w:pPr>
        <w:spacing w:after="0" w:line="480" w:lineRule="auto"/>
        <w:jc w:val="center"/>
        <w:rPr>
          <w:rFonts w:ascii="Times New Roman" w:hAnsi="Times New Roman" w:cs="Times New Roman"/>
          <w:sz w:val="24"/>
          <w:szCs w:val="24"/>
        </w:rPr>
      </w:pPr>
    </w:p>
    <w:p w:rsidR="006B64BC" w:rsidP="00F8071E" w14:paraId="42377562" w14:textId="649F141B">
      <w:pPr>
        <w:spacing w:after="0" w:line="480" w:lineRule="auto"/>
        <w:jc w:val="center"/>
        <w:rPr>
          <w:rFonts w:ascii="Times New Roman" w:hAnsi="Times New Roman" w:cs="Times New Roman"/>
          <w:sz w:val="24"/>
          <w:szCs w:val="24"/>
        </w:rPr>
      </w:pPr>
    </w:p>
    <w:p w:rsidR="006B64BC" w:rsidP="00F8071E" w14:paraId="45D3320A" w14:textId="5233887E">
      <w:pPr>
        <w:spacing w:after="0" w:line="480" w:lineRule="auto"/>
        <w:jc w:val="center"/>
        <w:rPr>
          <w:rFonts w:ascii="Times New Roman" w:hAnsi="Times New Roman" w:cs="Times New Roman"/>
          <w:sz w:val="24"/>
          <w:szCs w:val="24"/>
        </w:rPr>
      </w:pPr>
    </w:p>
    <w:p w:rsidR="006B64BC" w:rsidP="00F8071E" w14:paraId="1E0821F7" w14:textId="390BD28E">
      <w:pPr>
        <w:spacing w:after="0" w:line="480" w:lineRule="auto"/>
        <w:jc w:val="center"/>
        <w:rPr>
          <w:rFonts w:ascii="Times New Roman" w:hAnsi="Times New Roman" w:cs="Times New Roman"/>
          <w:sz w:val="24"/>
          <w:szCs w:val="24"/>
        </w:rPr>
      </w:pPr>
    </w:p>
    <w:p w:rsidR="006B64BC" w:rsidP="00F8071E" w14:paraId="1599528D" w14:textId="3600B135">
      <w:pPr>
        <w:spacing w:after="0" w:line="480" w:lineRule="auto"/>
        <w:jc w:val="center"/>
        <w:rPr>
          <w:rFonts w:ascii="Times New Roman" w:hAnsi="Times New Roman" w:cs="Times New Roman"/>
          <w:sz w:val="24"/>
          <w:szCs w:val="24"/>
        </w:rPr>
      </w:pPr>
    </w:p>
    <w:p w:rsidR="006B64BC" w:rsidP="00F8071E" w14:paraId="539B0AC1" w14:textId="7DF87968">
      <w:pPr>
        <w:spacing w:after="0" w:line="480" w:lineRule="auto"/>
        <w:jc w:val="center"/>
        <w:rPr>
          <w:rFonts w:ascii="Times New Roman" w:hAnsi="Times New Roman" w:cs="Times New Roman"/>
          <w:sz w:val="24"/>
          <w:szCs w:val="24"/>
        </w:rPr>
      </w:pPr>
    </w:p>
    <w:p w:rsidR="006B64BC" w:rsidP="00F8071E" w14:paraId="40568F2E" w14:textId="77777777">
      <w:pPr>
        <w:spacing w:after="0" w:line="480" w:lineRule="auto"/>
        <w:jc w:val="center"/>
        <w:rPr>
          <w:rFonts w:ascii="Times New Roman" w:hAnsi="Times New Roman" w:cs="Times New Roman"/>
          <w:sz w:val="24"/>
          <w:szCs w:val="24"/>
        </w:rPr>
      </w:pPr>
    </w:p>
    <w:p w:rsidR="00F8071E" w:rsidRPr="00F8071E" w:rsidP="00F8071E" w14:paraId="28785B6A" w14:textId="761770F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5: </w:t>
      </w:r>
      <w:r w:rsidRPr="00F8071E">
        <w:rPr>
          <w:rFonts w:ascii="Times New Roman" w:hAnsi="Times New Roman" w:cs="Times New Roman"/>
          <w:sz w:val="24"/>
          <w:szCs w:val="24"/>
        </w:rPr>
        <w:t>Cultures in Conflict</w:t>
      </w:r>
    </w:p>
    <w:p w:rsidR="00F8071E" w:rsidP="00F8071E" w14:paraId="2C57C24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8071E" w:rsidP="006B64BC" w14:paraId="763369BF" w14:textId="77AE3C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B64BC">
        <w:rPr>
          <w:rFonts w:ascii="Times New Roman" w:hAnsi="Times New Roman" w:cs="Times New Roman"/>
          <w:sz w:val="24"/>
          <w:szCs w:val="24"/>
        </w:rPr>
        <w:t>s</w:t>
      </w:r>
    </w:p>
    <w:p w:rsidR="006B64BC" w:rsidP="00F8071E" w14:paraId="0AE76C44"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8071E" w:rsidRPr="00F8071E" w:rsidP="00F8071E" w14:paraId="2D6CB215" w14:textId="095E8A2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5: </w:t>
      </w:r>
      <w:r w:rsidRPr="00F8071E">
        <w:rPr>
          <w:rFonts w:ascii="Times New Roman" w:hAnsi="Times New Roman" w:cs="Times New Roman"/>
          <w:sz w:val="24"/>
          <w:szCs w:val="24"/>
        </w:rPr>
        <w:t>Cultures in Conflict</w:t>
      </w:r>
    </w:p>
    <w:p w:rsidR="00F8071E" w:rsidRPr="00F8071E" w:rsidP="00F8071E" w14:paraId="3DF8A679" w14:textId="77777777">
      <w:pPr>
        <w:spacing w:after="0" w:line="480" w:lineRule="auto"/>
        <w:ind w:firstLine="720"/>
        <w:rPr>
          <w:rFonts w:ascii="Times New Roman" w:hAnsi="Times New Roman" w:cs="Times New Roman"/>
          <w:sz w:val="24"/>
          <w:szCs w:val="24"/>
        </w:rPr>
      </w:pPr>
      <w:r w:rsidRPr="00F8071E">
        <w:rPr>
          <w:rFonts w:ascii="Times New Roman" w:hAnsi="Times New Roman" w:cs="Times New Roman"/>
          <w:sz w:val="24"/>
          <w:szCs w:val="24"/>
        </w:rPr>
        <w:t xml:space="preserve">As the world momentum towards achieving gender equality and acceptance of women in the ground close combat in the military, many countries have allowed women to take part in the military infantry units with conditions while others have not yet accepted that women could possibly serve in the military. In the case of Israeli, differing opinions continue to emerge regarding women involvement in the military infantry combats. However, a common agreement seems to come from the military infantry, which involves the greatest number of casualties in the army as well as requires the highest level of soldering training. However, whenever the question of whether women should be allowed to take part in the military combat emerges, there are only two aspects that can be used to answer this question, should they or can they? This essay seeks to explain the cultural conflict in women participating in the military infantry units. </w:t>
      </w:r>
    </w:p>
    <w:p w:rsidR="00F8071E" w:rsidRPr="00F8071E" w:rsidP="00F8071E" w14:paraId="07173771" w14:textId="77777777">
      <w:pPr>
        <w:spacing w:after="0" w:line="480" w:lineRule="auto"/>
        <w:ind w:firstLine="720"/>
        <w:rPr>
          <w:rFonts w:ascii="Times New Roman" w:hAnsi="Times New Roman" w:cs="Times New Roman"/>
          <w:sz w:val="24"/>
          <w:szCs w:val="24"/>
        </w:rPr>
      </w:pPr>
      <w:r w:rsidRPr="00F8071E">
        <w:rPr>
          <w:rFonts w:ascii="Times New Roman" w:hAnsi="Times New Roman" w:cs="Times New Roman"/>
          <w:sz w:val="24"/>
          <w:szCs w:val="24"/>
        </w:rPr>
        <w:t>Women have been denied opportunities to choose what they want for themselves. Even in this discussion, it is about other people discussing what is best for the women. Harel-Shalev and Daphna-Tekoah (2015) explain an argument in a dialogue between two female, one a soldier and another feminist, with each arguing how she has contributed to the fight for gender equality and women involved in the careers that have been, for so long, dominated by the male gender. According to the authors, the soldier woman told the feminist activist that she had fought for her equality and the activist also told the solder the same thing (Harel-Shalev &amp; Daphna-Tekoah, 2015). All these cases show the skepticism that people hold towards suitability of women for military service. 
</w:t>
      </w:r>
    </w:p>
    <w:p w:rsidR="00F8071E" w:rsidP="00F8071E" w14:paraId="20B6A878" w14:textId="77777777">
      <w:pPr>
        <w:spacing w:after="0" w:line="480" w:lineRule="auto"/>
        <w:ind w:firstLine="720"/>
        <w:rPr>
          <w:rFonts w:ascii="Times New Roman" w:hAnsi="Times New Roman" w:cs="Times New Roman"/>
          <w:sz w:val="24"/>
          <w:szCs w:val="24"/>
        </w:rPr>
      </w:pPr>
      <w:r w:rsidRPr="00F8071E">
        <w:rPr>
          <w:rFonts w:ascii="Times New Roman" w:hAnsi="Times New Roman" w:cs="Times New Roman"/>
          <w:sz w:val="24"/>
          <w:szCs w:val="24"/>
        </w:rPr>
        <w:t xml:space="preserve">Since its independence, Israeli is considered to be the only country that has allowed women in the military service. According to Sasson-Levy (2011), approximately, one-third of the conscripts in the Israeli military are women. Military service, especially in the conflict-ridden </w:t>
      </w:r>
      <w:r w:rsidRPr="00F8071E">
        <w:rPr>
          <w:rFonts w:ascii="Times New Roman" w:hAnsi="Times New Roman" w:cs="Times New Roman"/>
          <w:sz w:val="24"/>
          <w:szCs w:val="24"/>
        </w:rPr>
        <w:t xml:space="preserve">regions has a significant impact on gender relations in the society (Harel-Shalev &amp; Daphna-Tekoah, 2015), In Israeli, the involvement of women is unique to many countries since the country made it mandatory for women to take part in the military service since 1948. However, despite this, most women are still restricted and denied the chance to take part in the combat duties. In Israeli, only the males are allowed to take part in the combat duties while military women are engaged in </w:t>
      </w:r>
      <w:r>
        <w:rPr>
          <w:rFonts w:ascii="Times New Roman" w:hAnsi="Times New Roman" w:cs="Times New Roman"/>
          <w:sz w:val="24"/>
          <w:szCs w:val="24"/>
        </w:rPr>
        <w:t>non-combat duties such as close-</w:t>
      </w:r>
      <w:r w:rsidRPr="00F8071E">
        <w:rPr>
          <w:rFonts w:ascii="Times New Roman" w:hAnsi="Times New Roman" w:cs="Times New Roman"/>
          <w:sz w:val="24"/>
          <w:szCs w:val="24"/>
        </w:rPr>
        <w:t xml:space="preserve">quarter combats (Harel-Shalev &amp; Daphna-Tekoah, 2015). This has been a question for many years, whether women should be allowed to participate in combat duties. </w:t>
      </w:r>
    </w:p>
    <w:p w:rsidR="00F8071E" w:rsidRPr="00F8071E" w:rsidP="00F8071E" w14:paraId="1A69C2D6" w14:textId="77777777">
      <w:pPr>
        <w:spacing w:after="0" w:line="480" w:lineRule="auto"/>
        <w:ind w:firstLine="720"/>
        <w:rPr>
          <w:rFonts w:ascii="Times New Roman" w:hAnsi="Times New Roman" w:cs="Times New Roman"/>
          <w:sz w:val="24"/>
          <w:szCs w:val="24"/>
        </w:rPr>
      </w:pPr>
      <w:r w:rsidRPr="00F8071E">
        <w:rPr>
          <w:rFonts w:ascii="Times New Roman" w:hAnsi="Times New Roman" w:cs="Times New Roman"/>
          <w:sz w:val="24"/>
          <w:szCs w:val="24"/>
        </w:rPr>
        <w:t xml:space="preserve">It may be mandatory for women to be enlisted in the military, but this does not guarantee them to gender equality. Their ambivalent position in the military is characterized by the patriarchal and militaristic organization of the Jewish society and culture. Culture conflict affects women’s achievement and involvement in civil service activities. Gendered division created by the patriarchal society provides the male combatants with all the authorities to participate in military combat while denying women that opportunity. </w:t>
      </w:r>
    </w:p>
    <w:p w:rsidR="00F8071E" w:rsidP="00F8071E" w14:paraId="66644AE8" w14:textId="77777777">
      <w:pPr>
        <w:spacing w:after="0" w:line="480" w:lineRule="auto"/>
        <w:ind w:firstLine="720"/>
        <w:rPr>
          <w:rFonts w:ascii="Times New Roman" w:hAnsi="Times New Roman" w:cs="Times New Roman"/>
          <w:sz w:val="24"/>
          <w:szCs w:val="24"/>
        </w:rPr>
      </w:pPr>
      <w:r w:rsidRPr="00F8071E">
        <w:rPr>
          <w:rFonts w:ascii="Times New Roman" w:hAnsi="Times New Roman" w:cs="Times New Roman"/>
          <w:sz w:val="24"/>
          <w:szCs w:val="24"/>
        </w:rPr>
        <w:t xml:space="preserve">I think that through the use of hindsight method, there is a solution to this gender conflict. According to Lebaron and Pillay (2006), conflict is easiest to understand through the use of examples. Since the hindsight method relies on the information of what has already happened, it is the perfect conflict solution approach that can be used in the case of Israeli women combatants. Lebaron and Pillay (2006) further explain that cultural conflict emerges as a result of the different perceptions of cultural issues. In the case of Israeli women in combat, the cultural conflicts are challenging because of the Jewish cultural ways of seeing women in military infantry units. The resistance by the Jewish community to allow women to move past close-quarter combats continues to widen the gender gap in the Israeli military.  </w:t>
      </w:r>
    </w:p>
    <w:p w:rsidR="00F8071E" w:rsidP="00F8071E" w14:paraId="309A84D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8071E" w:rsidRPr="002A7BB4" w:rsidP="00F8071E" w14:paraId="32E70ECA" w14:textId="77777777">
      <w:pPr>
        <w:spacing w:after="0" w:line="480" w:lineRule="auto"/>
        <w:ind w:left="720" w:hanging="720"/>
        <w:rPr>
          <w:rFonts w:ascii="Times New Roman" w:hAnsi="Times New Roman" w:cs="Times New Roman"/>
          <w:color w:val="222222"/>
          <w:sz w:val="24"/>
          <w:szCs w:val="24"/>
          <w:shd w:val="clear" w:color="auto" w:fill="FFFFFF"/>
        </w:rPr>
      </w:pPr>
      <w:r w:rsidRPr="002A7BB4">
        <w:rPr>
          <w:rFonts w:ascii="Times New Roman" w:hAnsi="Times New Roman" w:cs="Times New Roman"/>
          <w:color w:val="222222"/>
          <w:sz w:val="24"/>
          <w:szCs w:val="24"/>
          <w:shd w:val="clear" w:color="auto" w:fill="FFFFFF"/>
        </w:rPr>
        <w:t>Harel-Shalev, A., &amp; Daphna-Tekoah, S. (2015). Gendering conflict analysis: Analysing Israeli female combatants’ experiences. In </w:t>
      </w:r>
      <w:r w:rsidRPr="002A7BB4">
        <w:rPr>
          <w:rFonts w:ascii="Times New Roman" w:hAnsi="Times New Roman" w:cs="Times New Roman"/>
          <w:i/>
          <w:iCs/>
          <w:color w:val="222222"/>
          <w:sz w:val="24"/>
          <w:szCs w:val="24"/>
          <w:shd w:val="clear" w:color="auto" w:fill="FFFFFF"/>
        </w:rPr>
        <w:t>Female c</w:t>
      </w:r>
      <w:bookmarkStart w:id="0" w:name="_GoBack"/>
      <w:bookmarkEnd w:id="0"/>
      <w:r w:rsidRPr="002A7BB4">
        <w:rPr>
          <w:rFonts w:ascii="Times New Roman" w:hAnsi="Times New Roman" w:cs="Times New Roman"/>
          <w:i/>
          <w:iCs/>
          <w:color w:val="222222"/>
          <w:sz w:val="24"/>
          <w:szCs w:val="24"/>
          <w:shd w:val="clear" w:color="auto" w:fill="FFFFFF"/>
        </w:rPr>
        <w:t>ombatants in conflict and peace</w:t>
      </w:r>
      <w:r w:rsidRPr="002A7BB4">
        <w:rPr>
          <w:rFonts w:ascii="Times New Roman" w:hAnsi="Times New Roman" w:cs="Times New Roman"/>
          <w:color w:val="222222"/>
          <w:sz w:val="24"/>
          <w:szCs w:val="24"/>
          <w:shd w:val="clear" w:color="auto" w:fill="FFFFFF"/>
        </w:rPr>
        <w:t> (pp. 69-83). Palgrave Macmillan, London.</w:t>
      </w:r>
    </w:p>
    <w:p w:rsidR="00F8071E" w:rsidRPr="002A7BB4" w:rsidP="00F8071E" w14:paraId="652F1753" w14:textId="77777777">
      <w:pPr>
        <w:spacing w:after="0" w:line="480" w:lineRule="auto"/>
        <w:ind w:left="720" w:hanging="720"/>
        <w:rPr>
          <w:rFonts w:ascii="Times New Roman" w:hAnsi="Times New Roman" w:cs="Times New Roman"/>
          <w:color w:val="222222"/>
          <w:sz w:val="24"/>
          <w:szCs w:val="24"/>
          <w:shd w:val="clear" w:color="auto" w:fill="FFFFFF"/>
        </w:rPr>
      </w:pPr>
      <w:r w:rsidRPr="002A7BB4">
        <w:rPr>
          <w:rFonts w:ascii="Times New Roman" w:hAnsi="Times New Roman" w:cs="Times New Roman"/>
          <w:color w:val="222222"/>
          <w:sz w:val="24"/>
          <w:szCs w:val="24"/>
          <w:shd w:val="clear" w:color="auto" w:fill="FFFFFF"/>
        </w:rPr>
        <w:t xml:space="preserve">Lebaron, M., &amp; Pillay, V. (2006). </w:t>
      </w:r>
      <w:r w:rsidRPr="002A7BB4">
        <w:rPr>
          <w:rFonts w:ascii="Times New Roman" w:hAnsi="Times New Roman" w:cs="Times New Roman"/>
          <w:i/>
          <w:color w:val="222222"/>
          <w:sz w:val="24"/>
          <w:szCs w:val="24"/>
          <w:shd w:val="clear" w:color="auto" w:fill="FFFFFF"/>
        </w:rPr>
        <w:t>Conflict Across Cultures: A Unique Experience of Bridging Differences</w:t>
      </w:r>
      <w:r w:rsidRPr="002A7BB4">
        <w:rPr>
          <w:rFonts w:ascii="Times New Roman" w:hAnsi="Times New Roman" w:cs="Times New Roman"/>
          <w:color w:val="222222"/>
          <w:sz w:val="24"/>
          <w:szCs w:val="24"/>
          <w:shd w:val="clear" w:color="auto" w:fill="FFFFFF"/>
        </w:rPr>
        <w:t>. Intercultural Press, Boston, London</w:t>
      </w:r>
      <w:r w:rsidRPr="002A7BB4">
        <w:rPr>
          <w:rFonts w:ascii="Times New Roman" w:hAnsi="Times New Roman" w:cs="Times New Roman"/>
          <w:i/>
          <w:color w:val="222222"/>
          <w:sz w:val="24"/>
          <w:szCs w:val="24"/>
          <w:shd w:val="clear" w:color="auto" w:fill="FFFFFF"/>
        </w:rPr>
        <w:t>.</w:t>
      </w:r>
      <w:r w:rsidRPr="002A7BB4">
        <w:rPr>
          <w:rFonts w:ascii="Times New Roman" w:hAnsi="Times New Roman" w:cs="Times New Roman"/>
          <w:color w:val="222222"/>
          <w:sz w:val="24"/>
          <w:szCs w:val="24"/>
          <w:shd w:val="clear" w:color="auto" w:fill="FFFFFF"/>
        </w:rPr>
        <w:t xml:space="preserve"> </w:t>
      </w:r>
    </w:p>
    <w:p w:rsidR="00F8071E" w:rsidRPr="002A7BB4" w:rsidP="00F8071E" w14:paraId="5A9EB0FB" w14:textId="77777777">
      <w:pPr>
        <w:spacing w:after="0" w:line="480" w:lineRule="auto"/>
        <w:ind w:left="720" w:hanging="720"/>
        <w:rPr>
          <w:rFonts w:ascii="Times New Roman" w:hAnsi="Times New Roman" w:cs="Times New Roman"/>
          <w:sz w:val="24"/>
          <w:szCs w:val="24"/>
        </w:rPr>
      </w:pPr>
      <w:r w:rsidRPr="002A7BB4">
        <w:rPr>
          <w:rFonts w:ascii="Times New Roman" w:hAnsi="Times New Roman" w:cs="Times New Roman"/>
          <w:color w:val="222222"/>
          <w:sz w:val="24"/>
          <w:szCs w:val="24"/>
          <w:shd w:val="clear" w:color="auto" w:fill="FFFFFF"/>
        </w:rPr>
        <w:t>Sasson-Levy, O. (2011). Research on gender and the military in Israel: From a gendered organization to inequality regimes. </w:t>
      </w:r>
      <w:r w:rsidRPr="002A7BB4">
        <w:rPr>
          <w:rFonts w:ascii="Times New Roman" w:hAnsi="Times New Roman" w:cs="Times New Roman"/>
          <w:i/>
          <w:iCs/>
          <w:color w:val="222222"/>
          <w:sz w:val="24"/>
          <w:szCs w:val="24"/>
          <w:shd w:val="clear" w:color="auto" w:fill="FFFFFF"/>
        </w:rPr>
        <w:t>Israel Studies Review</w:t>
      </w:r>
      <w:r w:rsidRPr="002A7BB4">
        <w:rPr>
          <w:rFonts w:ascii="Times New Roman" w:hAnsi="Times New Roman" w:cs="Times New Roman"/>
          <w:color w:val="222222"/>
          <w:sz w:val="24"/>
          <w:szCs w:val="24"/>
          <w:shd w:val="clear" w:color="auto" w:fill="FFFFFF"/>
        </w:rPr>
        <w:t>, </w:t>
      </w:r>
      <w:r w:rsidRPr="002A7BB4">
        <w:rPr>
          <w:rFonts w:ascii="Times New Roman" w:hAnsi="Times New Roman" w:cs="Times New Roman"/>
          <w:i/>
          <w:iCs/>
          <w:color w:val="222222"/>
          <w:sz w:val="24"/>
          <w:szCs w:val="24"/>
          <w:shd w:val="clear" w:color="auto" w:fill="FFFFFF"/>
        </w:rPr>
        <w:t>26</w:t>
      </w:r>
      <w:r w:rsidRPr="002A7BB4">
        <w:rPr>
          <w:rFonts w:ascii="Times New Roman" w:hAnsi="Times New Roman" w:cs="Times New Roman"/>
          <w:color w:val="222222"/>
          <w:sz w:val="24"/>
          <w:szCs w:val="24"/>
          <w:shd w:val="clear" w:color="auto" w:fill="FFFFFF"/>
        </w:rPr>
        <w:t>(2), 73-98.</w:t>
      </w:r>
    </w:p>
    <w:p w:rsidR="00F8071E" w:rsidRPr="00F8071E" w:rsidP="00F8071E" w14:paraId="14F86142" w14:textId="77777777">
      <w:pPr>
        <w:spacing w:after="0" w:line="480" w:lineRule="auto"/>
        <w:rPr>
          <w:rFonts w:ascii="Times New Roman" w:hAnsi="Times New Roman" w:cs="Times New Roman"/>
          <w:sz w:val="24"/>
          <w:szCs w:val="24"/>
        </w:rPr>
      </w:pPr>
    </w:p>
    <w:sectPr w:rsidSect="00F8071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071E" w14:paraId="6EC5AD95" w14:textId="77777777">
    <w:pPr>
      <w:pStyle w:val="Header"/>
    </w:pPr>
    <w:r w:rsidRPr="00F8071E">
      <w:rPr>
        <w:rFonts w:ascii="Times New Roman" w:hAnsi="Times New Roman" w:cs="Times New Roman"/>
        <w:sz w:val="24"/>
        <w:szCs w:val="24"/>
      </w:rPr>
      <w:t>CULTURES IN CONFLICT</w:t>
    </w:r>
    <w:r w:rsidRPr="00F8071E">
      <w:rPr>
        <w:rFonts w:ascii="Times New Roman" w:hAnsi="Times New Roman" w:cs="Times New Roman"/>
        <w:sz w:val="24"/>
        <w:szCs w:val="24"/>
      </w:rPr>
      <w:tab/>
    </w:r>
    <w:r w:rsidRPr="00F8071E">
      <w:rPr>
        <w:rFonts w:ascii="Times New Roman" w:hAnsi="Times New Roman" w:cs="Times New Roman"/>
        <w:sz w:val="24"/>
        <w:szCs w:val="24"/>
      </w:rPr>
      <w:tab/>
    </w:r>
    <w:r w:rsidRPr="00F8071E">
      <w:rPr>
        <w:rFonts w:ascii="Times New Roman" w:hAnsi="Times New Roman" w:cs="Times New Roman"/>
        <w:sz w:val="24"/>
        <w:szCs w:val="24"/>
      </w:rPr>
      <w:tab/>
    </w:r>
    <w:r w:rsidRPr="00F8071E">
      <w:rPr>
        <w:rFonts w:ascii="Times New Roman" w:hAnsi="Times New Roman" w:cs="Times New Roman"/>
        <w:sz w:val="24"/>
        <w:szCs w:val="24"/>
      </w:rPr>
      <w:fldChar w:fldCharType="begin"/>
    </w:r>
    <w:r w:rsidRPr="00F8071E">
      <w:rPr>
        <w:rFonts w:ascii="Times New Roman" w:hAnsi="Times New Roman" w:cs="Times New Roman"/>
        <w:sz w:val="24"/>
        <w:szCs w:val="24"/>
      </w:rPr>
      <w:instrText xml:space="preserve"> PAGE   \* MERGEFORMAT </w:instrText>
    </w:r>
    <w:r w:rsidRPr="00F8071E">
      <w:rPr>
        <w:rFonts w:ascii="Times New Roman" w:hAnsi="Times New Roman" w:cs="Times New Roman"/>
        <w:sz w:val="24"/>
        <w:szCs w:val="24"/>
      </w:rPr>
      <w:fldChar w:fldCharType="separate"/>
    </w:r>
    <w:r>
      <w:rPr>
        <w:rFonts w:ascii="Times New Roman" w:hAnsi="Times New Roman" w:cs="Times New Roman"/>
        <w:noProof/>
        <w:sz w:val="24"/>
        <w:szCs w:val="24"/>
      </w:rPr>
      <w:t>2</w:t>
    </w:r>
    <w:r w:rsidRPr="00F8071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071E" w:rsidRPr="006B64BC" w14:paraId="331B3EA1" w14:textId="4A7E2BC8">
    <w:pPr>
      <w:pStyle w:val="Header"/>
      <w:rPr>
        <w:rFonts w:ascii="Times New Roman" w:hAnsi="Times New Roman" w:cs="Times New Roman"/>
      </w:rPr>
    </w:pPr>
    <w:r w:rsidRPr="006B64BC">
      <w:rPr>
        <w:rFonts w:ascii="Times New Roman" w:hAnsi="Times New Roman" w:cs="Times New Roman"/>
      </w:rPr>
      <w:t xml:space="preserve">Running head: </w:t>
    </w:r>
    <w:r w:rsidR="006B64BC">
      <w:rPr>
        <w:rFonts w:ascii="Times New Roman" w:hAnsi="Times New Roman" w:cs="Times New Roman"/>
      </w:rPr>
      <w:t xml:space="preserve">WEEK 5: </w:t>
    </w:r>
    <w:r w:rsidRPr="006B64BC">
      <w:rPr>
        <w:rFonts w:ascii="Times New Roman" w:hAnsi="Times New Roman" w:cs="Times New Roman"/>
      </w:rPr>
      <w:t>CULTURES IN CONFLICT</w:t>
    </w:r>
    <w:r w:rsidRPr="006B64BC">
      <w:rPr>
        <w:rFonts w:ascii="Times New Roman" w:hAnsi="Times New Roman" w:cs="Times New Roman"/>
      </w:rPr>
      <w:tab/>
    </w:r>
    <w:r w:rsidRPr="006B64BC">
      <w:rPr>
        <w:rFonts w:ascii="Times New Roman" w:hAnsi="Times New Roman" w:cs="Times New Roman"/>
      </w:rPr>
      <w:tab/>
    </w:r>
    <w:r w:rsidRPr="006B64BC">
      <w:rPr>
        <w:rFonts w:ascii="Times New Roman" w:hAnsi="Times New Roman" w:cs="Times New Roman"/>
      </w:rPr>
      <w:fldChar w:fldCharType="begin"/>
    </w:r>
    <w:r w:rsidRPr="006B64BC">
      <w:rPr>
        <w:rFonts w:ascii="Times New Roman" w:hAnsi="Times New Roman" w:cs="Times New Roman"/>
      </w:rPr>
      <w:instrText xml:space="preserve"> PAGE   \* MERGEFORMAT </w:instrText>
    </w:r>
    <w:r w:rsidRPr="006B64BC">
      <w:rPr>
        <w:rFonts w:ascii="Times New Roman" w:hAnsi="Times New Roman" w:cs="Times New Roman"/>
      </w:rPr>
      <w:fldChar w:fldCharType="separate"/>
    </w:r>
    <w:r w:rsidRPr="006B64BC">
      <w:rPr>
        <w:rFonts w:ascii="Times New Roman" w:hAnsi="Times New Roman" w:cs="Times New Roman"/>
        <w:noProof/>
      </w:rPr>
      <w:t>1</w:t>
    </w:r>
    <w:r w:rsidRPr="006B64B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91A0D"/>
    <w:rsid w:val="000912F6"/>
    <w:rsid w:val="00116532"/>
    <w:rsid w:val="00290B83"/>
    <w:rsid w:val="002A7BB4"/>
    <w:rsid w:val="00491A0D"/>
    <w:rsid w:val="004E5B16"/>
    <w:rsid w:val="006B64BC"/>
    <w:rsid w:val="00A0561C"/>
    <w:rsid w:val="00CF7A95"/>
    <w:rsid w:val="00F7472F"/>
    <w:rsid w:val="00F807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BADC26A-57E4-45B7-833A-6F6D95D3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71E"/>
  </w:style>
  <w:style w:type="paragraph" w:styleId="Footer">
    <w:name w:val="footer"/>
    <w:basedOn w:val="Normal"/>
    <w:link w:val="FooterChar"/>
    <w:uiPriority w:val="99"/>
    <w:unhideWhenUsed/>
    <w:rsid w:val="00F80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2019-01-31T07:41:00Z</dcterms:created>
  <dcterms:modified xsi:type="dcterms:W3CDTF">2019-01-31T16:18:00Z</dcterms:modified>
</cp:coreProperties>
</file>